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700" w:lineRule="exact"/>
        <w:jc w:val="center"/>
        <w:rPr>
          <w:rFonts w:eastAsia="方正小标宋简体"/>
          <w:sz w:val="34"/>
          <w:szCs w:val="44"/>
        </w:rPr>
      </w:pPr>
      <w:r>
        <w:rPr>
          <w:rFonts w:eastAsia="方正小标宋简体"/>
          <w:sz w:val="34"/>
          <w:szCs w:val="44"/>
        </w:rPr>
        <w:t>新一轮“三分类三升级”活动基层党组织分类定级管理台账</w:t>
      </w:r>
    </w:p>
    <w:p>
      <w:pPr>
        <w:spacing w:line="7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填报单位：                                                            填报时间：  年  月  日</w:t>
      </w:r>
    </w:p>
    <w:tbl>
      <w:tblPr>
        <w:tblStyle w:val="6"/>
        <w:tblW w:w="14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559"/>
        <w:gridCol w:w="709"/>
        <w:gridCol w:w="708"/>
        <w:gridCol w:w="709"/>
        <w:gridCol w:w="1060"/>
        <w:gridCol w:w="1601"/>
        <w:gridCol w:w="2584"/>
        <w:gridCol w:w="1080"/>
        <w:gridCol w:w="1418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6" w:hRule="atLeast"/>
          <w:jc w:val="center"/>
        </w:trPr>
        <w:tc>
          <w:tcPr>
            <w:tcW w:w="129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  <w:szCs w:val="18"/>
              </w:rPr>
              <w:t>中层单位</w:t>
            </w:r>
          </w:p>
          <w:p>
            <w:pPr>
              <w:spacing w:line="24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  <w:szCs w:val="18"/>
              </w:rPr>
              <w:t>党组织名称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基层党组织名称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所分类别</w:t>
            </w:r>
          </w:p>
        </w:tc>
        <w:tc>
          <w:tcPr>
            <w:tcW w:w="10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升级目标</w:t>
            </w:r>
          </w:p>
        </w:tc>
        <w:tc>
          <w:tcPr>
            <w:tcW w:w="160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存在的主要问题</w:t>
            </w:r>
          </w:p>
        </w:tc>
        <w:tc>
          <w:tcPr>
            <w:tcW w:w="258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整改措施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完成时限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责任人及职务</w:t>
            </w:r>
          </w:p>
        </w:tc>
        <w:tc>
          <w:tcPr>
            <w:tcW w:w="211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整顿提高完成情况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90" w:type="dxa"/>
            <w:vMerge w:val="continue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  <w:tc>
          <w:tcPr>
            <w:tcW w:w="1559" w:type="dxa"/>
            <w:vMerge w:val="continue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先进党组织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一般党组织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后进党组织</w:t>
            </w:r>
          </w:p>
        </w:tc>
        <w:tc>
          <w:tcPr>
            <w:tcW w:w="1060" w:type="dxa"/>
            <w:vMerge w:val="continue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  <w:tc>
          <w:tcPr>
            <w:tcW w:w="1601" w:type="dxa"/>
            <w:vMerge w:val="continue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  <w:tc>
          <w:tcPr>
            <w:tcW w:w="2584" w:type="dxa"/>
            <w:vMerge w:val="continue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  <w:tc>
          <w:tcPr>
            <w:tcW w:w="1080" w:type="dxa"/>
            <w:vMerge w:val="continue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  <w:tc>
          <w:tcPr>
            <w:tcW w:w="2111" w:type="dxa"/>
            <w:vMerge w:val="continue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90" w:type="dxa"/>
            <w:vMerge w:val="restart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  <w:tc>
          <w:tcPr>
            <w:tcW w:w="709" w:type="dxa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  <w:tc>
          <w:tcPr>
            <w:tcW w:w="708" w:type="dxa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  <w:tc>
          <w:tcPr>
            <w:tcW w:w="709" w:type="dxa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  <w:tc>
          <w:tcPr>
            <w:tcW w:w="1060" w:type="dxa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  <w:tc>
          <w:tcPr>
            <w:tcW w:w="1601" w:type="dxa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  <w:tc>
          <w:tcPr>
            <w:tcW w:w="2584" w:type="dxa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  <w:tc>
          <w:tcPr>
            <w:tcW w:w="2111" w:type="dxa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90" w:type="dxa"/>
            <w:vMerge w:val="continue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  <w:tc>
          <w:tcPr>
            <w:tcW w:w="709" w:type="dxa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  <w:tc>
          <w:tcPr>
            <w:tcW w:w="708" w:type="dxa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  <w:tc>
          <w:tcPr>
            <w:tcW w:w="709" w:type="dxa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  <w:tc>
          <w:tcPr>
            <w:tcW w:w="1060" w:type="dxa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  <w:tc>
          <w:tcPr>
            <w:tcW w:w="1601" w:type="dxa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  <w:tc>
          <w:tcPr>
            <w:tcW w:w="2584" w:type="dxa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  <w:tc>
          <w:tcPr>
            <w:tcW w:w="2111" w:type="dxa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90" w:type="dxa"/>
            <w:vMerge w:val="continue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  <w:tc>
          <w:tcPr>
            <w:tcW w:w="709" w:type="dxa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  <w:tc>
          <w:tcPr>
            <w:tcW w:w="708" w:type="dxa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  <w:tc>
          <w:tcPr>
            <w:tcW w:w="709" w:type="dxa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  <w:tc>
          <w:tcPr>
            <w:tcW w:w="1060" w:type="dxa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  <w:tc>
          <w:tcPr>
            <w:tcW w:w="1601" w:type="dxa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  <w:tc>
          <w:tcPr>
            <w:tcW w:w="2584" w:type="dxa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  <w:tc>
          <w:tcPr>
            <w:tcW w:w="2111" w:type="dxa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90" w:type="dxa"/>
            <w:vMerge w:val="continue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  <w:tc>
          <w:tcPr>
            <w:tcW w:w="709" w:type="dxa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  <w:tc>
          <w:tcPr>
            <w:tcW w:w="708" w:type="dxa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  <w:tc>
          <w:tcPr>
            <w:tcW w:w="709" w:type="dxa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  <w:tc>
          <w:tcPr>
            <w:tcW w:w="1060" w:type="dxa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  <w:tc>
          <w:tcPr>
            <w:tcW w:w="1601" w:type="dxa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  <w:tc>
          <w:tcPr>
            <w:tcW w:w="2584" w:type="dxa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  <w:tc>
          <w:tcPr>
            <w:tcW w:w="2111" w:type="dxa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90" w:type="dxa"/>
            <w:vMerge w:val="continue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  <w:tc>
          <w:tcPr>
            <w:tcW w:w="709" w:type="dxa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  <w:tc>
          <w:tcPr>
            <w:tcW w:w="708" w:type="dxa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  <w:tc>
          <w:tcPr>
            <w:tcW w:w="709" w:type="dxa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  <w:tc>
          <w:tcPr>
            <w:tcW w:w="1060" w:type="dxa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  <w:tc>
          <w:tcPr>
            <w:tcW w:w="1601" w:type="dxa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  <w:tc>
          <w:tcPr>
            <w:tcW w:w="2584" w:type="dxa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  <w:tc>
          <w:tcPr>
            <w:tcW w:w="2111" w:type="dxa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90" w:type="dxa"/>
            <w:vMerge w:val="continue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  <w:tc>
          <w:tcPr>
            <w:tcW w:w="709" w:type="dxa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  <w:tc>
          <w:tcPr>
            <w:tcW w:w="708" w:type="dxa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  <w:tc>
          <w:tcPr>
            <w:tcW w:w="709" w:type="dxa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  <w:tc>
          <w:tcPr>
            <w:tcW w:w="1060" w:type="dxa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  <w:tc>
          <w:tcPr>
            <w:tcW w:w="1601" w:type="dxa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  <w:tc>
          <w:tcPr>
            <w:tcW w:w="2584" w:type="dxa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  <w:tc>
          <w:tcPr>
            <w:tcW w:w="2111" w:type="dxa"/>
            <w:vAlign w:val="top"/>
          </w:tcPr>
          <w:p>
            <w:pPr>
              <w:spacing w:line="576" w:lineRule="exact"/>
              <w:rPr>
                <w:rFonts w:eastAsia="仿宋_GB2312"/>
                <w:kern w:val="0"/>
                <w:sz w:val="34"/>
                <w:szCs w:val="44"/>
              </w:rPr>
            </w:pPr>
          </w:p>
        </w:tc>
      </w:tr>
    </w:tbl>
    <w:p>
      <w:pPr>
        <w:spacing w:line="240" w:lineRule="exact"/>
        <w:rPr>
          <w:rFonts w:eastAsia="仿宋_GB2312"/>
          <w:szCs w:val="21"/>
        </w:rPr>
      </w:pPr>
      <w:r>
        <w:rPr>
          <w:rFonts w:eastAsia="仿宋_GB2312"/>
          <w:szCs w:val="21"/>
        </w:rPr>
        <w:t>说明：1. “升级目标”是指争创“先进”、“一般”党组织的目标。</w:t>
      </w:r>
      <w:r>
        <w:rPr>
          <w:rFonts w:hint="eastAsia" w:eastAsia="仿宋_GB2312"/>
          <w:szCs w:val="21"/>
        </w:rPr>
        <w:t>2</w:t>
      </w:r>
      <w:r>
        <w:rPr>
          <w:rFonts w:eastAsia="仿宋_GB2312"/>
          <w:szCs w:val="21"/>
        </w:rPr>
        <w:t>．“整顿措施”栏填主要措施，字数不超过150字，先进党组织不填此栏。</w:t>
      </w:r>
      <w:r>
        <w:rPr>
          <w:rFonts w:hint="eastAsia" w:eastAsia="仿宋_GB2312"/>
          <w:szCs w:val="21"/>
        </w:rPr>
        <w:t>3</w:t>
      </w:r>
      <w:r>
        <w:rPr>
          <w:rFonts w:eastAsia="仿宋_GB2312"/>
          <w:szCs w:val="21"/>
        </w:rPr>
        <w:t>.“完成时限”指完成整改任务实现升级目标的截止时间。</w:t>
      </w:r>
      <w:r>
        <w:rPr>
          <w:rFonts w:hint="eastAsia" w:eastAsia="仿宋_GB2312"/>
          <w:szCs w:val="21"/>
        </w:rPr>
        <w:t>4</w:t>
      </w:r>
      <w:r>
        <w:rPr>
          <w:rFonts w:eastAsia="仿宋_GB2312"/>
          <w:szCs w:val="21"/>
        </w:rPr>
        <w:t xml:space="preserve">.“所分类别”栏，在选择项下划“√”。 </w:t>
      </w:r>
      <w:r>
        <w:rPr>
          <w:rFonts w:hint="eastAsia" w:eastAsia="仿宋_GB2312"/>
          <w:szCs w:val="21"/>
        </w:rPr>
        <w:t>5</w:t>
      </w:r>
      <w:r>
        <w:rPr>
          <w:rFonts w:eastAsia="仿宋_GB2312"/>
          <w:szCs w:val="21"/>
        </w:rPr>
        <w:t>.此表由</w:t>
      </w:r>
      <w:r>
        <w:rPr>
          <w:rFonts w:hint="eastAsia" w:eastAsia="仿宋_GB2312"/>
          <w:szCs w:val="21"/>
        </w:rPr>
        <w:t>中层单位党组织汇总</w:t>
      </w:r>
      <w:r>
        <w:rPr>
          <w:rFonts w:eastAsia="仿宋_GB2312"/>
          <w:szCs w:val="21"/>
        </w:rPr>
        <w:t>后上报。</w:t>
      </w:r>
    </w:p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7F43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80FF8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2016-06-22T02:49:05Z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